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97" w:rsidRDefault="003E0597" w:rsidP="003E0597">
      <w:pPr>
        <w:pStyle w:val="pagenumbertop"/>
        <w:jc w:val="right"/>
      </w:pPr>
      <w:r>
        <w:t>страница 1 из 4</w:t>
      </w:r>
    </w:p>
    <w:p w:rsidR="003E0597" w:rsidRDefault="003E0597" w:rsidP="003E0597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3E0597" w:rsidRDefault="003E0597" w:rsidP="003E0597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3E0597" w:rsidRDefault="003E0597" w:rsidP="003E0597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426075, Удмуртская Республика, Ижевск, Молодежная, 17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3E0597" w:rsidTr="003E0597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E0597" w:rsidRDefault="003E0597">
            <w:pPr>
              <w:rPr>
                <w:sz w:val="16"/>
                <w:szCs w:val="16"/>
              </w:rPr>
            </w:pPr>
          </w:p>
        </w:tc>
      </w:tr>
      <w:tr w:rsidR="003E0597" w:rsidTr="003E0597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3E0597" w:rsidRDefault="003E059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10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«29» марта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3E0597" w:rsidRDefault="003E059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Руководителю </w:t>
            </w:r>
            <w:r>
              <w:rPr>
                <w:rStyle w:val="highlight1"/>
                <w:sz w:val="18"/>
                <w:szCs w:val="18"/>
              </w:rPr>
              <w:t xml:space="preserve">ООО «УК «Светлый </w:t>
            </w:r>
            <w:proofErr w:type="gramStart"/>
            <w:r>
              <w:rPr>
                <w:rStyle w:val="highlight1"/>
                <w:sz w:val="18"/>
                <w:szCs w:val="18"/>
              </w:rPr>
              <w:t>город»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>УР</w:t>
            </w:r>
            <w:proofErr w:type="gramEnd"/>
            <w:r>
              <w:rPr>
                <w:rStyle w:val="highlight1"/>
                <w:sz w:val="18"/>
                <w:szCs w:val="18"/>
              </w:rPr>
              <w:t>, ул. Кирова, 172, блок 14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3E0597" w:rsidRDefault="003E0597" w:rsidP="003E0597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3E0597" w:rsidRDefault="003E0597" w:rsidP="003E0597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УР,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0000000000</w:t>
      </w:r>
      <w:r>
        <w:t xml:space="preserve">, СНИЛС </w:t>
      </w:r>
      <w:r>
        <w:rPr>
          <w:rStyle w:val="highlight1"/>
        </w:rPr>
        <w:t>000-000-000-00</w:t>
      </w:r>
      <w:r>
        <w:t xml:space="preserve">) - член </w:t>
      </w:r>
      <w:r>
        <w:rPr>
          <w:rStyle w:val="highlight1"/>
          <w:sz w:val="18"/>
          <w:szCs w:val="18"/>
        </w:rPr>
        <w:t>САУ "Авангард"</w:t>
      </w:r>
      <w:r>
        <w:t xml:space="preserve"> (ОГРН </w:t>
      </w:r>
      <w:r>
        <w:rPr>
          <w:rStyle w:val="highlight1"/>
        </w:rPr>
        <w:t>1027705031320</w:t>
      </w:r>
      <w:r>
        <w:t xml:space="preserve">, ИНН </w:t>
      </w:r>
      <w:r>
        <w:rPr>
          <w:rStyle w:val="highlight1"/>
        </w:rPr>
        <w:t>7705479434</w:t>
      </w:r>
      <w:r>
        <w:t xml:space="preserve">, адрес: </w:t>
      </w:r>
      <w:r>
        <w:rPr>
          <w:rStyle w:val="highlight1"/>
        </w:rPr>
        <w:t>105062, г. Москва, ул. Макаренко, д. 5, стр.1А, пом. I, комн. 8,9,10</w:t>
      </w:r>
      <w:r>
        <w:t xml:space="preserve">). Судебное заседание по рассмотрению дела о банкротстве назначено на </w:t>
      </w:r>
      <w:r>
        <w:rPr>
          <w:rStyle w:val="highlight1"/>
        </w:rPr>
        <w:t>26.06.2014</w:t>
      </w:r>
      <w:r>
        <w:t xml:space="preserve"> г. </w:t>
      </w:r>
    </w:p>
    <w:p w:rsidR="003E0597" w:rsidRDefault="003E0597" w:rsidP="003E0597">
      <w:pPr>
        <w:pStyle w:val="font-10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</w:t>
      </w:r>
      <w:r>
        <w:rPr>
          <w:rStyle w:val="bold-underline1"/>
        </w:rPr>
        <w:t>наступают следующие последствия:</w:t>
      </w:r>
    </w:p>
    <w:p w:rsidR="003E0597" w:rsidRDefault="003E0597" w:rsidP="003E0597"/>
    <w:p w:rsidR="003E0597" w:rsidRDefault="003E0597" w:rsidP="003E0597">
      <w:pPr>
        <w:pStyle w:val="font-1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3E0597" w:rsidRDefault="003E0597" w:rsidP="003E0597">
      <w:pPr>
        <w:pStyle w:val="font-1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3E0597" w:rsidRDefault="003E0597" w:rsidP="003E0597">
      <w:pPr>
        <w:pStyle w:val="font-1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3E0597" w:rsidRDefault="003E0597" w:rsidP="003E0597">
      <w:pPr>
        <w:pStyle w:val="font-10"/>
      </w:pPr>
      <w:r>
        <w:t xml:space="preserve">– не допускаются удовлетворение требований учредителя (участника) должника о выделе доли (пая) в имуществе должника в связи с выходом из состава его учредителей (участников), выкуп либо приобретение должником размещенных акций или выплата действительной стоимости доли (пая); </w:t>
      </w:r>
    </w:p>
    <w:p w:rsidR="003E0597" w:rsidRDefault="003E0597" w:rsidP="003E0597">
      <w:pPr>
        <w:pStyle w:val="font-1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3E0597" w:rsidRDefault="003E0597" w:rsidP="003E0597">
      <w:pPr>
        <w:pStyle w:val="font-10"/>
      </w:pPr>
      <w:r>
        <w:t xml:space="preserve">– не допускается изъятие собственником имущества должника - </w:t>
      </w:r>
      <w:proofErr w:type="gramStart"/>
      <w:r>
        <w:t>унитарного предприятия</w:t>
      </w:r>
      <w:proofErr w:type="gramEnd"/>
      <w:r>
        <w:t xml:space="preserve"> принадлежащего должнику имущества; </w:t>
      </w:r>
    </w:p>
    <w:p w:rsidR="003E0597" w:rsidRDefault="003E0597" w:rsidP="003E0597">
      <w:pPr>
        <w:pStyle w:val="font-10"/>
      </w:pPr>
      <w:r>
        <w:t xml:space="preserve">– не допускается выплата дивидендов, доходов по долям (паям), а также распределение прибыли между учредителями (участниками) должника; </w:t>
      </w:r>
    </w:p>
    <w:p w:rsidR="003E0597" w:rsidRDefault="003E0597" w:rsidP="003E0597">
      <w:pPr>
        <w:pStyle w:val="font-1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3E0597" w:rsidRDefault="003E0597" w:rsidP="003E0597">
      <w:pPr>
        <w:pStyle w:val="font-10"/>
      </w:pPr>
      <w:r>
        <w:t xml:space="preserve">В соответствии со ст. 64 Закона о банкротстве введение наблюдения не является основанием для отстранения руководителя должника и иных органов управления должника, которые продолжают осуществлять свои полномочия со следующими ограничениями: </w:t>
      </w:r>
    </w:p>
    <w:p w:rsidR="003E0597" w:rsidRDefault="003E0597" w:rsidP="003E0597">
      <w:pPr>
        <w:pStyle w:val="font-10"/>
      </w:pPr>
      <w:r>
        <w:t xml:space="preserve">Органы управления должника могут совершать исключительно с согласия временного управляющего, выраженного в письменной форме, за исключением случаев, прямо предусмотренных Законом о банкротстве, сделки или несколько взаимосвязанных между собой сделок: </w:t>
      </w:r>
    </w:p>
    <w:p w:rsidR="003E0597" w:rsidRDefault="003E0597" w:rsidP="003E0597">
      <w:pPr>
        <w:pStyle w:val="font-10"/>
      </w:pPr>
      <w:r>
        <w:t xml:space="preserve">–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наблюдения; </w:t>
      </w:r>
    </w:p>
    <w:p w:rsidR="003E0597" w:rsidRDefault="003E0597" w:rsidP="003E0597">
      <w:pPr>
        <w:pStyle w:val="pagenumbertop"/>
        <w:jc w:val="right"/>
      </w:pPr>
      <w:r>
        <w:br w:type="page"/>
      </w:r>
      <w:r>
        <w:lastRenderedPageBreak/>
        <w:t>страница 2 из 4</w:t>
      </w:r>
    </w:p>
    <w:p w:rsidR="003E0597" w:rsidRDefault="003E0597" w:rsidP="003E0597">
      <w:pPr>
        <w:pStyle w:val="font-10"/>
      </w:pPr>
      <w:r>
        <w:t xml:space="preserve">– связанных с получением и выдачей займов (кредитов), выдачей поручительств и гарантий, уступкой прав требования, переводом долга, а также с учреждением доверительного управления имуществом должника. </w:t>
      </w:r>
    </w:p>
    <w:p w:rsidR="003E0597" w:rsidRDefault="003E0597" w:rsidP="003E0597">
      <w:pPr>
        <w:pStyle w:val="font-10"/>
      </w:pPr>
      <w:r>
        <w:t xml:space="preserve">Органы управления должника не вправе принимать решения: </w:t>
      </w:r>
    </w:p>
    <w:p w:rsidR="003E0597" w:rsidRDefault="003E0597" w:rsidP="003E0597">
      <w:pPr>
        <w:pStyle w:val="font-10"/>
      </w:pPr>
      <w:r>
        <w:t xml:space="preserve">– о реорганизации (слиянии, присоединении, разделении, выделении, преобразовании) и ликвидации должника; </w:t>
      </w:r>
    </w:p>
    <w:p w:rsidR="003E0597" w:rsidRDefault="003E0597" w:rsidP="003E0597">
      <w:pPr>
        <w:pStyle w:val="font-10"/>
      </w:pPr>
      <w:r>
        <w:t xml:space="preserve">– о создании юридических лиц или об участии должника в иных юридических лицах; </w:t>
      </w:r>
    </w:p>
    <w:p w:rsidR="003E0597" w:rsidRDefault="003E0597" w:rsidP="003E0597">
      <w:pPr>
        <w:pStyle w:val="font-10"/>
      </w:pPr>
      <w:r>
        <w:t xml:space="preserve">– о создании филиалов и представительств; </w:t>
      </w:r>
    </w:p>
    <w:p w:rsidR="003E0597" w:rsidRDefault="003E0597" w:rsidP="003E0597">
      <w:pPr>
        <w:pStyle w:val="font-10"/>
      </w:pPr>
      <w:r>
        <w:t xml:space="preserve">– о выплате дивидендов или распределении прибыли должника между его учредителями (участниками); </w:t>
      </w:r>
    </w:p>
    <w:p w:rsidR="003E0597" w:rsidRDefault="003E0597" w:rsidP="003E0597">
      <w:pPr>
        <w:pStyle w:val="font-10"/>
      </w:pPr>
      <w:r>
        <w:t xml:space="preserve">– о размещении должником облигаций и иных эмиссионных ценных бумаг, за исключением акций; </w:t>
      </w:r>
    </w:p>
    <w:p w:rsidR="003E0597" w:rsidRDefault="003E0597" w:rsidP="003E0597">
      <w:pPr>
        <w:pStyle w:val="font-10"/>
      </w:pPr>
      <w:r>
        <w:t xml:space="preserve">– о выходе из состава учредителей (участников) должника, приобретении у акционеров ранее размещенных акций; </w:t>
      </w:r>
    </w:p>
    <w:p w:rsidR="003E0597" w:rsidRDefault="003E0597" w:rsidP="003E0597">
      <w:pPr>
        <w:pStyle w:val="font-10"/>
      </w:pPr>
      <w:r>
        <w:t xml:space="preserve">– об участии в ассоциациях, союзах, холдинговых компаниях, финансово-промышленных группах и иных объединениях юридических лиц; </w:t>
      </w:r>
    </w:p>
    <w:p w:rsidR="003E0597" w:rsidRDefault="003E0597" w:rsidP="003E0597">
      <w:pPr>
        <w:pStyle w:val="font-10"/>
      </w:pPr>
      <w:r>
        <w:t xml:space="preserve">– о заключении договоров простого товарищества. </w:t>
      </w:r>
    </w:p>
    <w:p w:rsidR="003E0597" w:rsidRDefault="003E0597" w:rsidP="003E0597">
      <w:pPr>
        <w:pStyle w:val="font-10"/>
      </w:pPr>
      <w:r>
        <w:t xml:space="preserve">Собственник имущества должника - унитарного предприятия не вправе: </w:t>
      </w:r>
    </w:p>
    <w:p w:rsidR="003E0597" w:rsidRDefault="003E0597" w:rsidP="003E0597">
      <w:pPr>
        <w:pStyle w:val="font-10"/>
      </w:pPr>
      <w:r>
        <w:t xml:space="preserve">– принимать решения о реорганизации (слиянии, присоединении, разделении, выделении, преобразовании) и ликвидации должника; </w:t>
      </w:r>
    </w:p>
    <w:p w:rsidR="003E0597" w:rsidRDefault="003E0597" w:rsidP="003E0597">
      <w:pPr>
        <w:pStyle w:val="font-10"/>
      </w:pPr>
      <w:r>
        <w:t xml:space="preserve">– давать согласие на создание должником юридических лиц или участие должника в иных юридических лицах; </w:t>
      </w:r>
    </w:p>
    <w:p w:rsidR="003E0597" w:rsidRDefault="003E0597" w:rsidP="003E0597">
      <w:pPr>
        <w:pStyle w:val="font-10"/>
      </w:pPr>
      <w:r>
        <w:t xml:space="preserve">– давать согласие на создание филиалов и открытие представительств должника; </w:t>
      </w:r>
    </w:p>
    <w:p w:rsidR="003E0597" w:rsidRDefault="003E0597" w:rsidP="003E0597">
      <w:pPr>
        <w:pStyle w:val="font-10"/>
      </w:pPr>
      <w:r>
        <w:t xml:space="preserve">– принимать решения о размещении должником облигаций и иных эмиссионных ценных бумаг. </w:t>
      </w:r>
    </w:p>
    <w:p w:rsidR="003E0597" w:rsidRDefault="003E0597" w:rsidP="003E0597">
      <w:pPr>
        <w:pStyle w:val="font-10"/>
      </w:pPr>
      <w:r>
        <w:rPr>
          <w:rStyle w:val="underline1"/>
        </w:rPr>
        <w:t>Не позднее пятнадцати дней с даты утверждения временного управляющего</w:t>
      </w:r>
      <w:r>
        <w:t xml:space="preserve"> руководитель должника обязан предоставить временному управляющему и направить в арбитражный суд перечень имущества должника, в том числе имущественных прав, а также бухгалтерские и иные документы, отражающие экономическую деятельность должника за три года до введения наблюдения. Ежемесячно руководитель должника обязан информировать временного управляющего об изменениях в составе имущества должника. </w:t>
      </w:r>
    </w:p>
    <w:p w:rsidR="003E0597" w:rsidRDefault="003E0597" w:rsidP="003E0597">
      <w:pPr>
        <w:pStyle w:val="font-10"/>
      </w:pPr>
      <w:r>
        <w:t xml:space="preserve">Руководитель должника </w:t>
      </w:r>
      <w:r>
        <w:rPr>
          <w:rStyle w:val="underline1"/>
        </w:rPr>
        <w:t>в течение десяти дней с даты вынесения определения о введении наблюдения</w:t>
      </w:r>
      <w:r>
        <w:t xml:space="preserve"> обязан обратиться к учредителям (участникам) должника с предложением провести общее собрание учредителей (участников) должника, к собственнику имущества должника - унитарного предприятия для рассмотрения вопросов об обращении к первому собранию кредиторов должника с предложением о введении в отношении должника финансового оздоровления, проведении дополнительной эмиссии акций и иных предусмотренных Законом о банкротстве вопросов. </w:t>
      </w:r>
    </w:p>
    <w:p w:rsidR="003E0597" w:rsidRDefault="003E0597" w:rsidP="003E0597">
      <w:pPr>
        <w:pStyle w:val="font-10"/>
      </w:pPr>
      <w:r>
        <w:t xml:space="preserve">Руководитель должника обязан уведомить о вынесении арбитражным судом определения о введении наблюдения работников должника, учредителей (участников) должника, собственника имущества должника - унитарного предприятия </w:t>
      </w:r>
      <w:r>
        <w:rPr>
          <w:rStyle w:val="underline1"/>
        </w:rPr>
        <w:t>в течение десяти дней с даты вынесения такого определения.</w:t>
      </w:r>
      <w:r>
        <w:t xml:space="preserve"> </w:t>
      </w:r>
    </w:p>
    <w:p w:rsidR="003E0597" w:rsidRDefault="003E0597" w:rsidP="003E0597">
      <w:pPr>
        <w:pStyle w:val="font-10"/>
      </w:pPr>
      <w:r>
        <w:t xml:space="preserve">В соответствии со ст. 69 Федерального закона от 26.10.2002 № 127-ФЗ «О несостоятельности (банкротстве)» в случае нарушения руководителем должника требований Закона о банкротстве по ходатайству временного управляющего арбитражный суд отстраняет его от должности. </w:t>
      </w:r>
    </w:p>
    <w:p w:rsidR="003E0597" w:rsidRDefault="003E0597" w:rsidP="003E0597"/>
    <w:p w:rsidR="003E0597" w:rsidRDefault="003E0597" w:rsidP="003E0597">
      <w:pPr>
        <w:pStyle w:val="font-10"/>
      </w:pPr>
      <w:r>
        <w:t xml:space="preserve">На основании ст. 66 Закона о банкротстве </w:t>
      </w:r>
      <w:r>
        <w:rPr>
          <w:rStyle w:val="bold-underline1"/>
        </w:rPr>
        <w:t>прошу Вас предоставить следующую информацию и документы в отношении должника:</w:t>
      </w:r>
      <w:r>
        <w:t xml:space="preserve">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учредительные документы;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свидетельство ИНН;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свидетельство ОГРН;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список участников (реестр акционеров), сведения о держателе реестра акционеров;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документы, содержащие сведения о составе органов управления должника, а также о лицах, имеющих право давать обязательные для должника указания либо имеющих возможность иным образом определять его действия;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об аффилированных лицах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документы, подтверждающие полномочия руководителя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протоколы и решения собраний органов управления должника;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свидетельства и (или) листы записи о внесении изменений в сведения о юридическом лице;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лицензии и сертификаты, выданные должнику;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филиалов, представительств, дочерних и зависимых хозяйственных обществ с указанием их места нахождения, доли участия должника в их уставном капитале;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выписку из Единого государственного реестра юридических лиц, сроком давности не более 1 (одного) календарного месяца, но не ранее последнего изменения, отражаемого в реестре; </w:t>
      </w:r>
    </w:p>
    <w:p w:rsidR="003E0597" w:rsidRDefault="003E0597" w:rsidP="003E0597">
      <w:pPr>
        <w:numPr>
          <w:ilvl w:val="0"/>
          <w:numId w:val="1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реквизиты расчетных и иных счетов, открытых должником в кредитных организациях;</w:t>
      </w:r>
    </w:p>
    <w:p w:rsidR="003E0597" w:rsidRDefault="003E0597" w:rsidP="003E0597">
      <w:pPr>
        <w:pStyle w:val="pagenumbertop"/>
        <w:jc w:val="right"/>
      </w:pPr>
      <w:r>
        <w:br w:type="page"/>
      </w:r>
      <w:r>
        <w:lastRenderedPageBreak/>
        <w:t>страница 3 из 4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список лиц, наделенных правом первой и второй подписи на расчетных документах;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приказы и распоряжения руководителя должника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выданных доверенностях в форме журнала учета выданных доверенностей;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учетную политику и документы, утвердившие ее;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 первичного бухгалтерского </w:t>
      </w:r>
      <w:proofErr w:type="spellStart"/>
      <w:r>
        <w:rPr>
          <w:sz w:val="20"/>
          <w:szCs w:val="20"/>
        </w:rPr>
        <w:t>учетаза</w:t>
      </w:r>
      <w:proofErr w:type="spellEnd"/>
      <w:r>
        <w:rPr>
          <w:sz w:val="20"/>
          <w:szCs w:val="20"/>
        </w:rPr>
        <w:t xml:space="preserve">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бухгалтерскую отчетность (форма № 1, 2) за три календарных года, предшествующих дате принятия заявления о признании должника банкротом;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отчеты во внебюджетные фонды и органы статистики за три календарных года, предшествующих дате принятия заявления о признании должника банкротом;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налоговую отчетность;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расчетов с дебиторами по статье «Расчеты с персоналом по прочим операциям»;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авансов, выданных поставщикам и подрядчикам, обоснованность авансов;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расшифровку финансовых вложений;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proofErr w:type="spellStart"/>
      <w:r>
        <w:rPr>
          <w:sz w:val="20"/>
          <w:szCs w:val="20"/>
        </w:rPr>
        <w:t>оборотно</w:t>
      </w:r>
      <w:proofErr w:type="spellEnd"/>
      <w:r>
        <w:rPr>
          <w:sz w:val="20"/>
          <w:szCs w:val="20"/>
        </w:rPr>
        <w:t xml:space="preserve">-сальдовые ведомости по всем счетам бухгалтерского учета,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по 01, 02, 04, 08, 10, 19, 20, 26, 41, 44, 50, 51, 58, 60, 62, 63, 66, 67, 68, 69, 70, 71, 76, 90, 91;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книги покупок и продаж, авансовые отчеты, кассовые книги и отчеты;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дебиторов с указанием размера дебиторской задолженности по каждому дебитору на текущую дату, а также соответствующие подтверждающие первичные бухгалтерские документы;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кредиторов с указанием размера кредиторской задолженности по каждому кредитору на текущую дату, а также соответствующие подтверждающие первичные бухгалтерские документы;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справку о задолженности перед бюджетами всех уровней и внебюджетными фондами (в том числе акт сверки с налоговой инспекцией);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задолженности перед гражданами, перед которыми должник несет ответственность за причинение вреда жизни или здоровью, а также требований по компенсации морального вреда;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задолженности по выплате выходных пособий и оплате труда лиц, работающих или работавших по трудовому договору, и по выплате вознаграждений авторам результатов интеллектуальной деятельности;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последние акты инвентаризации имущества и финансовых обязательств, последние инвентаризационные ведомости (в том числе акций, облигаций, ценных бумаг) по установленным формам;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отчеты ревизионной комиссии о результатах финансово-хозяйственной деятельности должника за три календарных года, предшествующих дате принятия заявления о признании должника банкротом;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заключения профессиональных аудиторов за три календарных года, предшествующих дате принятия заявления о признании должника банкротом;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утвержденное штатное расписание, а также сведения о численности работников на текущую дату;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приказы по личному составу (в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о приеме, увольнении, перемещении и </w:t>
      </w:r>
      <w:proofErr w:type="spellStart"/>
      <w:r>
        <w:rPr>
          <w:sz w:val="20"/>
          <w:szCs w:val="20"/>
        </w:rPr>
        <w:t>т.д</w:t>
      </w:r>
      <w:proofErr w:type="spellEnd"/>
      <w:r>
        <w:rPr>
          <w:sz w:val="20"/>
          <w:szCs w:val="20"/>
        </w:rPr>
        <w:t xml:space="preserve">), трудовые договоры с работниками;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материально ответственных лицах;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гражданско-правовые сделки, заключенные с юридическими лицами, физическими лицами и индивидуальными предпринимателями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и документы, свидетельствующие об исполнении или неисполнении должником обязательств перед контрагентами;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судебных споров с участием должника, решений судов, решений государственных органов в отношении должника и его руководства;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список исполнительных производств, возбужденных в отношении должника, а также возбужденных по заявлению должника;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полный перечень имущества должника, в том числе имущественных прав на текущую дату;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документы, подтверждающие государственную регистрацию прав собственности должника на имущество и имущественные права, иные документы, подтверждающие права должника на принадлежащее ему имущество и имущественные права;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>сведения о наличии обременений имущества должника;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сведения о наличии и степени готовности незавершенного производства, о времени и величине средств, необходимых до доведения его до готовой продукции; о размере запаса сырья и материалов, который может быть реализован без ущерба для производственного процесса;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 наличии и степени готовности объектов незавершенного строительства, размера средств, необходимого для завершения строительных работ; </w:t>
      </w:r>
    </w:p>
    <w:p w:rsidR="003E0597" w:rsidRDefault="003E0597" w:rsidP="003E0597">
      <w:pPr>
        <w:numPr>
          <w:ilvl w:val="0"/>
          <w:numId w:val="2"/>
        </w:numPr>
        <w:spacing w:before="100" w:beforeAutospacing="1" w:after="100" w:afterAutospacing="1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сведения об остатках денежных средств на текущую дату и о движении денежных средств за период с </w:t>
      </w:r>
      <w:r>
        <w:rPr>
          <w:rStyle w:val="choose1"/>
          <w:sz w:val="20"/>
          <w:szCs w:val="20"/>
        </w:rPr>
        <w:t>[3-х лет до даты принятия заявления]</w:t>
      </w:r>
      <w:r>
        <w:rPr>
          <w:sz w:val="20"/>
          <w:szCs w:val="20"/>
        </w:rPr>
        <w:t xml:space="preserve"> г. по настоящее время. </w:t>
      </w:r>
    </w:p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05170"/>
    <w:multiLevelType w:val="multilevel"/>
    <w:tmpl w:val="EAAA215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C2A35"/>
    <w:multiLevelType w:val="multilevel"/>
    <w:tmpl w:val="F4249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EA"/>
    <w:rsid w:val="000268DE"/>
    <w:rsid w:val="0035747C"/>
    <w:rsid w:val="003E0597"/>
    <w:rsid w:val="0082180C"/>
    <w:rsid w:val="00930265"/>
    <w:rsid w:val="00A02406"/>
    <w:rsid w:val="00BD3BEA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CF02B-47EF-4489-9F81-1C1732DB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0597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3E0597"/>
    <w:pPr>
      <w:ind w:firstLine="525"/>
      <w:jc w:val="both"/>
    </w:pPr>
    <w:rPr>
      <w:sz w:val="20"/>
      <w:szCs w:val="20"/>
    </w:rPr>
  </w:style>
  <w:style w:type="paragraph" w:customStyle="1" w:styleId="pagenumbertop">
    <w:name w:val="pagenumbertop"/>
    <w:basedOn w:val="a"/>
    <w:uiPriority w:val="99"/>
    <w:semiHidden/>
    <w:rsid w:val="003E0597"/>
    <w:pPr>
      <w:ind w:firstLine="525"/>
      <w:jc w:val="both"/>
    </w:pPr>
    <w:rPr>
      <w:sz w:val="20"/>
      <w:szCs w:val="20"/>
    </w:rPr>
  </w:style>
  <w:style w:type="character" w:customStyle="1" w:styleId="highlight1">
    <w:name w:val="highlight1"/>
    <w:rsid w:val="003E0597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3E0597"/>
    <w:rPr>
      <w:rFonts w:ascii="Times New Roman" w:hAnsi="Times New Roman" w:cs="Times New Roman" w:hint="default"/>
      <w:b/>
      <w:bCs/>
      <w:u w:val="single"/>
    </w:rPr>
  </w:style>
  <w:style w:type="character" w:customStyle="1" w:styleId="choose1">
    <w:name w:val="choose1"/>
    <w:rsid w:val="003E0597"/>
    <w:rPr>
      <w:rFonts w:ascii="Times New Roman" w:hAnsi="Times New Roman" w:cs="Times New Roman" w:hint="default"/>
      <w:color w:val="FF0000"/>
    </w:rPr>
  </w:style>
  <w:style w:type="character" w:customStyle="1" w:styleId="underline1">
    <w:name w:val="underline1"/>
    <w:rsid w:val="003E0597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4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298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1910</Words>
  <Characters>10890</Characters>
  <Application>Microsoft Office Word</Application>
  <DocSecurity>0</DocSecurity>
  <Lines>90</Lines>
  <Paragraphs>25</Paragraphs>
  <ScaleCrop>false</ScaleCrop>
  <Company/>
  <LinksUpToDate>false</LinksUpToDate>
  <CharactersWithSpaces>12775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2017-03-29T06:50:00Z</dcterms:created>
  <dcterms:modified xsi:type="dcterms:W3CDTF">2017-03-29T06:50:00Z</dcterms:modified>
</cp:coreProperties>
</file>